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DD" w:rsidRDefault="00A857DD" w:rsidP="00A857DD">
      <w:pPr>
        <w:pStyle w:val="a3"/>
        <w:jc w:val="center"/>
        <w:rPr>
          <w:rFonts w:ascii="Verdana" w:hAnsi="Verdana"/>
          <w:color w:val="000000"/>
          <w:sz w:val="17"/>
          <w:szCs w:val="17"/>
        </w:rPr>
      </w:pPr>
      <w:r>
        <w:rPr>
          <w:rStyle w:val="a4"/>
          <w:rFonts w:ascii="Verdana" w:hAnsi="Verdana"/>
          <w:color w:val="000000"/>
          <w:sz w:val="17"/>
          <w:szCs w:val="17"/>
        </w:rPr>
        <w:t>РОССИЙСКАЯ ФЕДЕРАЦИЯ</w:t>
      </w:r>
      <w:r>
        <w:rPr>
          <w:rFonts w:ascii="Verdana" w:hAnsi="Verdana"/>
          <w:color w:val="000000"/>
          <w:sz w:val="17"/>
          <w:szCs w:val="17"/>
        </w:rPr>
        <w:t> </w:t>
      </w:r>
      <w:r>
        <w:rPr>
          <w:rStyle w:val="a4"/>
          <w:rFonts w:ascii="Verdana" w:hAnsi="Verdana"/>
          <w:color w:val="000000"/>
          <w:sz w:val="17"/>
          <w:szCs w:val="17"/>
        </w:rPr>
        <w:t>АДМИНИСТРАЦИЯ САВИНСКОГО СЕЛЬСКОГО ПОСЕЛЕНИЯ САВИНСКОГО МУНИЦИПАЛЬНОГО РАЙОНА</w:t>
      </w:r>
    </w:p>
    <w:p w:rsidR="00A857DD" w:rsidRDefault="00A857DD" w:rsidP="00A857DD">
      <w:pPr>
        <w:pStyle w:val="a3"/>
        <w:jc w:val="center"/>
        <w:rPr>
          <w:rFonts w:ascii="Verdana" w:hAnsi="Verdana"/>
          <w:color w:val="000000"/>
          <w:sz w:val="17"/>
          <w:szCs w:val="17"/>
        </w:rPr>
      </w:pPr>
      <w:r>
        <w:rPr>
          <w:rStyle w:val="a4"/>
          <w:rFonts w:ascii="Verdana" w:hAnsi="Verdana"/>
          <w:color w:val="000000"/>
          <w:sz w:val="17"/>
          <w:szCs w:val="17"/>
        </w:rPr>
        <w:t>ИВАНОВСКОЙ ОБЛАСТИ П О С Т А Н О В Л Е Н И Е 27.03.2012 года № 23</w:t>
      </w:r>
    </w:p>
    <w:p w:rsidR="00A857DD" w:rsidRDefault="00A857DD" w:rsidP="00A857DD">
      <w:pPr>
        <w:pStyle w:val="a3"/>
        <w:jc w:val="center"/>
        <w:rPr>
          <w:rFonts w:ascii="Verdana" w:hAnsi="Verdana"/>
          <w:color w:val="000000"/>
          <w:sz w:val="17"/>
          <w:szCs w:val="17"/>
        </w:rPr>
      </w:pPr>
      <w:r>
        <w:rPr>
          <w:rStyle w:val="a4"/>
          <w:rFonts w:ascii="Verdana" w:hAnsi="Verdana"/>
          <w:color w:val="000000"/>
          <w:sz w:val="17"/>
          <w:szCs w:val="17"/>
        </w:rPr>
        <w:t>Об утверждении административного регламента по исполнению муниципальной функции осуществления муниципального земельного контроля на территории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Руководствуясь Земельным кодексом Российской Федерации,Кодексом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Савинского сельского поселения, администрация Савинского сельского поселения ПОСТАНОВЛЯЕТ:</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A6021">
      <w:pPr>
        <w:pStyle w:val="a3"/>
        <w:numPr>
          <w:ilvl w:val="0"/>
          <w:numId w:val="1"/>
        </w:numPr>
        <w:jc w:val="both"/>
        <w:rPr>
          <w:rFonts w:ascii="Verdana" w:hAnsi="Verdana"/>
          <w:color w:val="000000"/>
          <w:sz w:val="17"/>
          <w:szCs w:val="17"/>
        </w:rPr>
      </w:pPr>
      <w:r>
        <w:rPr>
          <w:rFonts w:ascii="Verdana" w:hAnsi="Verdana"/>
          <w:color w:val="000000"/>
          <w:sz w:val="17"/>
          <w:szCs w:val="17"/>
        </w:rPr>
        <w:t>Утвердить административный регламент по исполнению муниципальной функции осуществления муниципального земельного контроля на территории Савинского сельского поселения (Приложение № 1).</w:t>
      </w:r>
    </w:p>
    <w:p w:rsidR="00A857DD" w:rsidRDefault="00A857DD" w:rsidP="00AA6021">
      <w:pPr>
        <w:pStyle w:val="a3"/>
        <w:numPr>
          <w:ilvl w:val="0"/>
          <w:numId w:val="1"/>
        </w:numPr>
        <w:jc w:val="both"/>
        <w:rPr>
          <w:rFonts w:ascii="Verdana" w:hAnsi="Verdana"/>
          <w:color w:val="000000"/>
          <w:sz w:val="17"/>
          <w:szCs w:val="17"/>
        </w:rPr>
      </w:pPr>
      <w:r>
        <w:rPr>
          <w:rFonts w:ascii="Verdana" w:hAnsi="Verdana"/>
          <w:color w:val="000000"/>
          <w:sz w:val="17"/>
          <w:szCs w:val="17"/>
        </w:rPr>
        <w:t>Обнародовать настоящее постановление на информационном стенде администрации и на официальном сайте в сети «Интернет».</w:t>
      </w:r>
    </w:p>
    <w:p w:rsidR="00A857DD" w:rsidRDefault="00A857DD" w:rsidP="00AA6021">
      <w:pPr>
        <w:pStyle w:val="a3"/>
        <w:numPr>
          <w:ilvl w:val="0"/>
          <w:numId w:val="1"/>
        </w:numPr>
        <w:jc w:val="both"/>
        <w:rPr>
          <w:rFonts w:ascii="Verdana" w:hAnsi="Verdana"/>
          <w:color w:val="000000"/>
          <w:sz w:val="17"/>
          <w:szCs w:val="17"/>
        </w:rPr>
      </w:pPr>
      <w:r>
        <w:rPr>
          <w:rFonts w:ascii="Verdana" w:hAnsi="Verdana"/>
          <w:color w:val="000000"/>
          <w:sz w:val="17"/>
          <w:szCs w:val="17"/>
        </w:rPr>
        <w:t>Настоящее постановление вступает в силу со дня его обнародования.</w:t>
      </w:r>
    </w:p>
    <w:p w:rsidR="00A857DD" w:rsidRDefault="00A857DD" w:rsidP="00AA6021">
      <w:pPr>
        <w:pStyle w:val="a3"/>
        <w:numPr>
          <w:ilvl w:val="0"/>
          <w:numId w:val="1"/>
        </w:numPr>
        <w:jc w:val="both"/>
        <w:rPr>
          <w:rFonts w:ascii="Verdana" w:hAnsi="Verdana"/>
          <w:color w:val="000000"/>
          <w:sz w:val="17"/>
          <w:szCs w:val="17"/>
        </w:rPr>
      </w:pPr>
      <w:r>
        <w:rPr>
          <w:rFonts w:ascii="Verdana" w:hAnsi="Verdana"/>
          <w:color w:val="000000"/>
          <w:sz w:val="17"/>
          <w:szCs w:val="17"/>
        </w:rPr>
        <w:t>Контроль за исполнением постановления оставляю за собой.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Глава администрации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Савинского сельского поселения А.В. Наганов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right"/>
        <w:rPr>
          <w:rFonts w:ascii="Verdana" w:hAnsi="Verdana"/>
          <w:color w:val="000000"/>
          <w:sz w:val="17"/>
          <w:szCs w:val="17"/>
        </w:rPr>
      </w:pPr>
      <w:r>
        <w:rPr>
          <w:rFonts w:ascii="Verdana" w:hAnsi="Verdana"/>
          <w:color w:val="000000"/>
          <w:sz w:val="17"/>
          <w:szCs w:val="17"/>
        </w:rPr>
        <w:t>Приложение №1</w:t>
      </w:r>
    </w:p>
    <w:p w:rsidR="00A857DD" w:rsidRDefault="00A857DD" w:rsidP="00A857DD">
      <w:pPr>
        <w:pStyle w:val="a3"/>
        <w:jc w:val="right"/>
        <w:rPr>
          <w:rFonts w:ascii="Verdana" w:hAnsi="Verdana"/>
          <w:color w:val="000000"/>
          <w:sz w:val="17"/>
          <w:szCs w:val="17"/>
        </w:rPr>
      </w:pPr>
      <w:r>
        <w:rPr>
          <w:rFonts w:ascii="Verdana" w:hAnsi="Verdana"/>
          <w:color w:val="000000"/>
          <w:sz w:val="17"/>
          <w:szCs w:val="17"/>
        </w:rPr>
        <w:t>к постановлению администрации Савинского сельского поселения от 27 марта 2012 г. № 23</w:t>
      </w:r>
    </w:p>
    <w:p w:rsidR="00A857DD" w:rsidRDefault="00A857DD" w:rsidP="00A857DD">
      <w:pPr>
        <w:pStyle w:val="a3"/>
        <w:jc w:val="center"/>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center"/>
        <w:rPr>
          <w:rFonts w:ascii="Verdana" w:hAnsi="Verdana"/>
          <w:color w:val="000000"/>
          <w:sz w:val="17"/>
          <w:szCs w:val="17"/>
        </w:rPr>
      </w:pPr>
      <w:r>
        <w:rPr>
          <w:rStyle w:val="a4"/>
          <w:rFonts w:ascii="Verdana" w:hAnsi="Verdana"/>
          <w:color w:val="000000"/>
          <w:sz w:val="17"/>
          <w:szCs w:val="17"/>
        </w:rPr>
        <w:t>АДМИНИСТРАТИВНЫЙ РЕГЛАМЕНТ</w:t>
      </w:r>
    </w:p>
    <w:p w:rsidR="00A857DD" w:rsidRDefault="00A857DD" w:rsidP="00A857DD">
      <w:pPr>
        <w:pStyle w:val="a3"/>
        <w:jc w:val="center"/>
        <w:rPr>
          <w:rFonts w:ascii="Verdana" w:hAnsi="Verdana"/>
          <w:color w:val="000000"/>
          <w:sz w:val="17"/>
          <w:szCs w:val="17"/>
        </w:rPr>
      </w:pPr>
      <w:r>
        <w:rPr>
          <w:rStyle w:val="a4"/>
          <w:rFonts w:ascii="Verdana" w:hAnsi="Verdana"/>
          <w:color w:val="000000"/>
          <w:sz w:val="17"/>
          <w:szCs w:val="17"/>
        </w:rPr>
        <w:t>ПО ИСПОЛНЕНИЮ МУНИЦИПАЛЬНОЙ ФУНКЦИИ ОСУЩЕСТВЛЕНИЯ МУНИЦИПАЛЬНОГО ЗЕМЕЛЬНОГО КОНТРОЛЯ НА ТЕРРИТОРИИ</w:t>
      </w:r>
    </w:p>
    <w:p w:rsidR="00A857DD" w:rsidRDefault="00A857DD" w:rsidP="00A857DD">
      <w:pPr>
        <w:pStyle w:val="a3"/>
        <w:jc w:val="center"/>
        <w:rPr>
          <w:rFonts w:ascii="Verdana" w:hAnsi="Verdana"/>
          <w:color w:val="000000"/>
          <w:sz w:val="17"/>
          <w:szCs w:val="17"/>
        </w:rPr>
      </w:pPr>
      <w:r>
        <w:rPr>
          <w:rStyle w:val="a4"/>
          <w:rFonts w:ascii="Verdana" w:hAnsi="Verdana"/>
          <w:color w:val="000000"/>
          <w:sz w:val="17"/>
          <w:szCs w:val="17"/>
        </w:rPr>
        <w:t>САВИНСКОГО СЕЛЬСКОГО ПОСЕЛЕНИЯ</w:t>
      </w:r>
    </w:p>
    <w:p w:rsidR="00A857DD" w:rsidRDefault="00A857DD" w:rsidP="00A857DD">
      <w:pPr>
        <w:pStyle w:val="a3"/>
        <w:jc w:val="center"/>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1. Общие положения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1.1. Административный регламент исполнения Администрацией Савинского сельского поселения Савинского муниципального района Ивановской областиисполнения функции по муниципальному земельному контролю на территории муниципального образования (далее - Административный регламент) разработан в целях повышения качества и эффективности проверок, проводимых уполномоченными лицами по использованию и охране земель, защиты прав участников земельных правоотношений и определяет сроки и последовательность действий при осуществлении полномочий по муниципальному земельному контролю.</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1.2. Настоящий Административный регламент разработан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2. Требования к порядку исполнения функции по проведению</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проверок соблюдения земельного законодательства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2.1. Информирование физических, юридических лиц, индивидуальных предпринимателей и должностных лиц о правилах исполнения функции осуществляется в виде индивидуального информирования и публичного информирования.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Информирование проводится в устной и письменной форме.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Индивидуальное устное информирование о порядке исполнения функции обеспечивается специалистами администрации, осуществляющими исполнение функции, лично, по телефону.</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Время разговора (информирования) по телефону не должно превышать 10 минут.</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Длительность устного информирования (консультирования) при личном обращении не должна превышать 20 минут.</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Индивидуальное письменное информирование о порядке, процедуре, ходе исполнения функции при обращении в администрацию поселения осуществляется путем направления письменных ответов почтовым отправлением, а также электронной почтой.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официальном сайте Администрации Савинского сельского поселения в сети Интернет, на информационном стенде администрации по адресу: п. Савино, ул. Первомайская, д.22 , каб. № 3.</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2.2. Сведения о местонахождении, контактных телефонах, Интернет-адресе, адресе электронной почты поселения размещаются: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на официальном сайте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на информационном стенде администрации.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2.3. Сведения о графике (режиме) работы администрации поселения сообщаются по телефону, а также размещаются: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на официальном сайте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на информационном стенде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2..4. На информационном стенде размещается следующая информация: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режим работы администрации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номер телефона;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-перечень документов, которые могут быть предъявлены заявителями в качестве удостоверяющих личность;</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перечень правоустанавливающих документов;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иная информация по исполнению Функции.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2.5. Консультации и информирование по порядку или о ходе исполнения функции можно получить в администрации поселения по адресу:Ивановская область, Савинский район, п. Савино, ул. Первомайская, д. 22 каб. № 3 в рабочие дни: с 8-00 до 12-00 часов с 13-00 до 16-00 и (или) по телефону: (849356)9-11-74.</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администрации поселения в установленное для работы (приема) время.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Для получения сведений о ходе выполнения функции заявителем указываются (называются) дата и входящий номер, проставленные в полученной при подаче документов расписке. Заявителю предоставляются сведения о том, на каком этапе выполнения (в процессе выполнения какой административной процедуры) находится функция.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2.6. Информирование и консультирование по исполнению функции осуществляется безвозмездно.</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3. Сроки исполнения функции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Срок исполнения функции в отношении граждан не может превышать </w:t>
      </w:r>
      <w:r>
        <w:rPr>
          <w:rStyle w:val="a4"/>
          <w:rFonts w:ascii="Verdana" w:hAnsi="Verdana"/>
          <w:color w:val="000000"/>
          <w:sz w:val="17"/>
          <w:szCs w:val="17"/>
        </w:rPr>
        <w:t>тридцати</w:t>
      </w:r>
      <w:r>
        <w:rPr>
          <w:rFonts w:ascii="Verdana" w:hAnsi="Verdana"/>
          <w:color w:val="000000"/>
          <w:sz w:val="17"/>
          <w:szCs w:val="17"/>
        </w:rPr>
        <w:t>календарных дней со дня регистрации обращения.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Срок исполнения функции в отношении юридических лиц и индивидуальных предпринимателей не может превышать двадцати рабочих дней.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 не более чем на пятнадцать часов.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4. Перечень оснований для прекращения исполнения функции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Основанием для отказа в исполнении функции являются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нарушения земельного законодательства и фактах, указывающих на: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нарушение прав потребителей (в случае обращения граждан, права которых нарушены).</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5. Требования к местам исполнения функции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5.1 Организация приема заявителей осуществляется согласно графику приема граждан администрацией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помещениях для работы с заявителями и в местах ожидания должны создаваться комфортные условия для специалистов и заявителей (посетителей), размещаться информационные стенды.</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Для ожидания приема заявителям отводятся места, оборудованные стульями, столом.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Помещение должно быть оборудовано в соответствии с санитарными правилами и нормами.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5.2 Выездная проверка (как плановая, так и внеплановая) проводится по месту нахождения юридического лица, места осуществления деятельности индивидуального предпринимателя и (или) по месту фактического осуществления их деятельности.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lastRenderedPageBreak/>
        <w:t>6. Права и обязанности уполномоченных лиц органов местного самоуправления при осуществлении 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6.1 Уполномоченные лица администрации Савинского сельского поселения при осуществлении муниципального земельного контроля имеют право в установленном порядке: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посещать при предъявлении постановления Администрации Савинского сельского поселения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6.2 Уполномоченные лица администрации Савинского сельского поселения при проведении проверок соблюдения земельного законодательства (далее - проверки) обязаны:</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соблюдать законодательство Российской Федерации, права и законные интересы Землепользователей;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3) проводить проверки на основании и в строгом соответствии с постановлениями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4) посещать объекты (земельные участки) Землепользователей в целях проведения проверок только во время исполнения служебных обязанностей при предъявлении постановления главы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 не препятствовать Землепользователю (представителю) присутствовать при проведении проверки, давать разъяснения по вопросам, относящимся к предмету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6) предоставлять Землепользователям (представителям), присутствующим при проведении проверки, относящуюся к предмету проверки информацию;</w:t>
      </w:r>
    </w:p>
    <w:p w:rsidR="00A857DD" w:rsidRDefault="00A857DD" w:rsidP="00AA6021">
      <w:pPr>
        <w:pStyle w:val="a3"/>
        <w:numPr>
          <w:ilvl w:val="0"/>
          <w:numId w:val="2"/>
        </w:numPr>
        <w:jc w:val="both"/>
        <w:rPr>
          <w:rFonts w:ascii="Verdana" w:hAnsi="Verdana"/>
          <w:color w:val="000000"/>
          <w:sz w:val="17"/>
          <w:szCs w:val="17"/>
        </w:rPr>
      </w:pPr>
      <w:r>
        <w:rPr>
          <w:rFonts w:ascii="Verdana" w:hAnsi="Verdana"/>
          <w:color w:val="000000"/>
          <w:sz w:val="17"/>
          <w:szCs w:val="17"/>
        </w:rPr>
        <w:t>знакомить Землепользователей (представителей) с результатами проверок.</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7. Последовательность действий при осуществлени</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7.1 Муниципальный земельный контроль на территории Савинского сельского поселения осуществляется в следующей последовательности: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планирование проверок;</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2) подготовка к проведению проверки;</w:t>
      </w:r>
    </w:p>
    <w:p w:rsidR="00A857DD" w:rsidRDefault="00A857DD" w:rsidP="00AA6021">
      <w:pPr>
        <w:pStyle w:val="a3"/>
        <w:numPr>
          <w:ilvl w:val="0"/>
          <w:numId w:val="3"/>
        </w:numPr>
        <w:jc w:val="both"/>
        <w:rPr>
          <w:rFonts w:ascii="Verdana" w:hAnsi="Verdana"/>
          <w:color w:val="000000"/>
          <w:sz w:val="17"/>
          <w:szCs w:val="17"/>
        </w:rPr>
      </w:pPr>
      <w:r>
        <w:rPr>
          <w:rFonts w:ascii="Verdana" w:hAnsi="Verdana"/>
          <w:color w:val="000000"/>
          <w:sz w:val="17"/>
          <w:szCs w:val="17"/>
        </w:rPr>
        <w:t>проведение проверки и оформление ее результатов.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5.</w:t>
      </w:r>
      <w:r>
        <w:rPr>
          <w:rFonts w:ascii="Verdana" w:hAnsi="Verdana"/>
          <w:color w:val="000000"/>
          <w:sz w:val="17"/>
          <w:szCs w:val="17"/>
        </w:rPr>
        <w:t> </w:t>
      </w:r>
      <w:r>
        <w:rPr>
          <w:rStyle w:val="a4"/>
          <w:rFonts w:ascii="Verdana" w:hAnsi="Verdana"/>
          <w:color w:val="000000"/>
          <w:sz w:val="17"/>
          <w:szCs w:val="17"/>
        </w:rPr>
        <w:t>Организация и проведение плановых проверок</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5.1. Плановые проверки проводятся на основании разрабатываемых органами муниципального земельного контроля в соответствии с их полномочиями ежегодных планов.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5.2. Плановые проверки в отношении каждого земельного участка, предоставленного юридическому лиц или индивидуальному предпринимателю, проводятся не чаще чем один раз в три года.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5.3. Плановые проверки в отношении каждого земельного участка, предоставленного физическому лицу, проводятся не чаще чем один раз в два года.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5.4. В ежегодных планах проведения плановых проверок указываются следующие сведения: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цель и основание проведения каждой плановой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3) дата и сроки проведения каждой плановой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5.5. Утвержденный Администрацией Савинского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Савинскогосельского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5.6. В срок до 1 сентября года, предшествующего году проведения плановых проверок, администрация Савинского сельского поселения проект ежегодных планов проведения плановых проверок в органы прокуратуры.</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5.7. Основанием для включения плановой проверки в ежегодный план проведения плановых проверок в отношении участков, указанных в пункте 5.2 Регламента</w:t>
      </w:r>
      <w:r>
        <w:rPr>
          <w:rStyle w:val="a4"/>
          <w:rFonts w:ascii="Verdana" w:hAnsi="Verdana"/>
          <w:color w:val="000000"/>
          <w:sz w:val="17"/>
          <w:szCs w:val="17"/>
        </w:rPr>
        <w:t>,</w:t>
      </w:r>
      <w:r>
        <w:rPr>
          <w:rFonts w:ascii="Verdana" w:hAnsi="Verdana"/>
          <w:color w:val="000000"/>
          <w:sz w:val="17"/>
          <w:szCs w:val="17"/>
        </w:rPr>
        <w:t>является истечение трех лет со дня: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государственной регистрации юридического лица, индивидуального предпринимателя;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окончания проведения последней плановой проверки юридического лица, индивидуального предпринимателя;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5.8. Основанием для включения плановой проверки в ежегодный план проведения плановых проверок в отношении участков, указанных в пункте 5.3 Регламента, является отсутствие сведений о правоустанавливающих документах на земельный участок либо истечение двух лет со дня: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предоставления земельного участка,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окончания проведения последней плановой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5.9. Плановая проверка проводится в форме документарной проверки и (или) выездной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5.10. О проведении плановой проверки Землепользователи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Администрации Савинского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8. Организация и проведение внеплановой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8.1. Основанием для проведения внеплановой проверки является: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нарушение прав потребителей (в случае обращения граждан, права которых нарушены),</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8.2. Основанием для проведения внеплановой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обнаружение муниципальным инспектором достаточных данных, указывающих на наличие земельных правонарушений;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8.3. Обращения и заявления, не позволяющие установить лицо, обратившееся в орган муниципального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8.4. Внеплановая проверка проводится в форме документарной проверки и (или) выездной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8.5.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8.1.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8.6. В день подписания постановления Администрации Савинского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постановления Администрации Савинского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xml:space="preserve">8.7.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Verdana" w:hAnsi="Verdana"/>
          <w:color w:val="000000"/>
          <w:sz w:val="17"/>
          <w:szCs w:val="17"/>
        </w:rPr>
        <w:lastRenderedPageBreak/>
        <w:t>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8.9. В случае,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8.10.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9. Порядок организации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9.1. Проверка проводится на основании постановления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Проверка может проводиться только должностным лицом или должностными лицами, которые указаны в постановлении.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9.2. В постановлении указываются: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наименование органа 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4) цели, задачи, предмет проверки и срок ее проведения;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6) сроки проведения и перечень мероприятий по контролю, необходимых для достижения целей и задач проведения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7) перечень административных регламентов проведения мероприятий по муниципальному земельному контролю;</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 перечень документов, представление которых Землепользователями необходимо для достижения целей и задач проведения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9) даты начала и окончания проведения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9.3. Заверенные печатью копии распоряжения вручаются под роспись должностными лицами органа муниципального земельного контроля, проводящими проверку, Землепользователю (представителю). 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9.4. По просьбе Землепользователей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а также физическим лицом при осуществлении деятельности.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10. Порядок оформления результатов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10.1. По результатам проверки должностными лицами органа муниципального земельного контроля, проводящими проверку, составляется акт в двух экземплярах.</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10.2. В акте проверки указываются: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 дата, время и место составления акта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2) наименование органа 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3) дата и номер распоряжения;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4) фамилии, имена, отчества и должности должностного лица или должностных лиц, проводивших проверку;</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5) наименование проверяемого юридического лица, фамилия, имя и отчество индивидуального предпринимателя, а также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6) дата, время, продолжительность и место проведения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9) подписи должностного лица или должностных лиц, проводивших проверку.</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и иная информация, подтверждающая или опровергающая наличие нарушения земельного законодательства.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10.4. Акт проверки оформляется непосредственно после ее завершения в двух экземплярах, один из которых с копиями приложений вручается Землепользователю (представителю) под расписку об ознакомлении либо об отказе в ознакомлении с актом проверки. В случае отсутствия Землепользователя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10.5.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Землепользователю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10.9.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10.10. При отсутствии журнала учета проверок в акте проверки делается соответствующая запись.</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10.11. Землепользователь (представитель),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Землепользователь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11. Формы контроля за исполнением административного регламента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11.1. Контроль за соблюдением и исполнением должностными лицами действий по выполнению настоящего административного регламента осуществляется Главой админи 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11.2.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Периодичность осуществления контроля за полнотой и качеством исполнения муниципальной услуги устанавливается Главой администрации Савинского сельского поселения.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lastRenderedPageBreak/>
        <w:t> </w:t>
      </w:r>
    </w:p>
    <w:p w:rsidR="00A857DD" w:rsidRDefault="00A857DD" w:rsidP="00A857DD">
      <w:pPr>
        <w:pStyle w:val="a3"/>
        <w:jc w:val="both"/>
        <w:rPr>
          <w:rFonts w:ascii="Verdana" w:hAnsi="Verdana"/>
          <w:color w:val="000000"/>
          <w:sz w:val="17"/>
          <w:szCs w:val="17"/>
        </w:rPr>
      </w:pPr>
      <w:r>
        <w:rPr>
          <w:rStyle w:val="a4"/>
          <w:rFonts w:ascii="Verdana" w:hAnsi="Verdana"/>
          <w:color w:val="000000"/>
          <w:sz w:val="17"/>
          <w:szCs w:val="17"/>
        </w:rPr>
        <w:t>12.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12.1.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Предметом досудебного (внесудебного) обжалования могут быть:</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нарушение установленного срока предоставления муниципальной услуги;</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иные нарушения требований административного регламента.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Заявитель имеет право обратиться в Администрацию Савинского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администрации Савинского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письменном обращении в обязательном порядке указываются: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фамилия, имя, отчество (последнее – при наличии) заявителя;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почтовый адрес, по которому должен быть направлен ответ;</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уведомление о переадресации обращения;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изложение сути обращения, фамилию, имя, отчество соответствующего должностного лица, чьи действия (бездействия) и решения обжалуются;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личная подпись и дата;</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доверенность (в случае, если в интересах заявителя обращается уполномоченное лицо).</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Письменное обращение должно быть написано разборчивым почерком, текст письменного обращения должен поддаваться прочтению.</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О результатах рассмотрения обращения гражданин информируется в письменной форме: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письменный ответ направляется в течение 30 календарных дней после регистрации обращения;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xml:space="preserve">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w:t>
      </w:r>
      <w:r>
        <w:rPr>
          <w:rFonts w:ascii="Verdana" w:hAnsi="Verdana"/>
          <w:color w:val="000000"/>
          <w:sz w:val="17"/>
          <w:szCs w:val="17"/>
        </w:rPr>
        <w:lastRenderedPageBreak/>
        <w:t>прекращении переписки по данному вопросу. О данном решении в адрес заявителя, направившего обращение, направляется сообщение.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Соответствующее уведомление направляется заявителю в срок не позднее 15 календарных дней с момента получения жалобы в следующих случаях:</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обращение, в котором обжалуется судебное решение, возвращается заявителю с разъяснением порядка обжалования данного судебного решения.</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12.2.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A857DD" w:rsidRDefault="00A857DD" w:rsidP="00A857DD">
      <w:pPr>
        <w:pStyle w:val="a3"/>
        <w:jc w:val="both"/>
        <w:rPr>
          <w:rFonts w:ascii="Verdana" w:hAnsi="Verdana"/>
          <w:color w:val="000000"/>
          <w:sz w:val="17"/>
          <w:szCs w:val="17"/>
        </w:rPr>
      </w:pPr>
      <w:r>
        <w:rPr>
          <w:rFonts w:ascii="Verdana" w:hAnsi="Verdana"/>
          <w:color w:val="000000"/>
          <w:sz w:val="17"/>
          <w:szCs w:val="17"/>
        </w:rPr>
        <w:t> </w:t>
      </w:r>
    </w:p>
    <w:p w:rsidR="00294D2E" w:rsidRPr="00A857DD" w:rsidRDefault="00294D2E" w:rsidP="00A857DD"/>
    <w:sectPr w:rsidR="00294D2E" w:rsidRPr="00A857DD"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5C3"/>
    <w:multiLevelType w:val="multilevel"/>
    <w:tmpl w:val="2D64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F07C2"/>
    <w:multiLevelType w:val="multilevel"/>
    <w:tmpl w:val="8F82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C066E"/>
    <w:multiLevelType w:val="multilevel"/>
    <w:tmpl w:val="AF74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C0058"/>
    <w:rsid w:val="002258C5"/>
    <w:rsid w:val="00294D2E"/>
    <w:rsid w:val="003E459E"/>
    <w:rsid w:val="003F45D4"/>
    <w:rsid w:val="003F53AB"/>
    <w:rsid w:val="005C6C35"/>
    <w:rsid w:val="006112C2"/>
    <w:rsid w:val="007D5CE4"/>
    <w:rsid w:val="0086177D"/>
    <w:rsid w:val="009C0058"/>
    <w:rsid w:val="00A83A9E"/>
    <w:rsid w:val="00A857DD"/>
    <w:rsid w:val="00AA6021"/>
    <w:rsid w:val="00B14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paragraph" w:styleId="1">
    <w:name w:val="heading 1"/>
    <w:basedOn w:val="a"/>
    <w:link w:val="10"/>
    <w:uiPriority w:val="9"/>
    <w:qFormat/>
    <w:rsid w:val="00225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C6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C6C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6C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058"/>
    <w:rPr>
      <w:b/>
      <w:bCs/>
    </w:rPr>
  </w:style>
  <w:style w:type="character" w:customStyle="1" w:styleId="apple-converted-space">
    <w:name w:val="apple-converted-space"/>
    <w:basedOn w:val="a0"/>
    <w:rsid w:val="009C0058"/>
  </w:style>
  <w:style w:type="character" w:styleId="a5">
    <w:name w:val="Hyperlink"/>
    <w:basedOn w:val="a0"/>
    <w:uiPriority w:val="99"/>
    <w:semiHidden/>
    <w:unhideWhenUsed/>
    <w:rsid w:val="00A83A9E"/>
    <w:rPr>
      <w:color w:val="0000FF"/>
      <w:u w:val="single"/>
    </w:rPr>
  </w:style>
  <w:style w:type="character" w:customStyle="1" w:styleId="10">
    <w:name w:val="Заголовок 1 Знак"/>
    <w:basedOn w:val="a0"/>
    <w:link w:val="1"/>
    <w:uiPriority w:val="9"/>
    <w:rsid w:val="002258C5"/>
    <w:rPr>
      <w:rFonts w:ascii="Times New Roman" w:eastAsia="Times New Roman" w:hAnsi="Times New Roman" w:cs="Times New Roman"/>
      <w:b/>
      <w:bCs/>
      <w:kern w:val="36"/>
      <w:sz w:val="48"/>
      <w:szCs w:val="48"/>
      <w:lang w:eastAsia="ru-RU"/>
    </w:rPr>
  </w:style>
  <w:style w:type="paragraph" w:customStyle="1" w:styleId="western">
    <w:name w:val="western"/>
    <w:basedOn w:val="a"/>
    <w:rsid w:val="0022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258C5"/>
    <w:rPr>
      <w:i/>
      <w:iCs/>
    </w:rPr>
  </w:style>
  <w:style w:type="character" w:customStyle="1" w:styleId="articleseparator">
    <w:name w:val="article_separator"/>
    <w:basedOn w:val="a0"/>
    <w:rsid w:val="002258C5"/>
  </w:style>
  <w:style w:type="character" w:customStyle="1" w:styleId="20">
    <w:name w:val="Заголовок 2 Знак"/>
    <w:basedOn w:val="a0"/>
    <w:link w:val="2"/>
    <w:uiPriority w:val="9"/>
    <w:rsid w:val="005C6C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5C6C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6C35"/>
    <w:rPr>
      <w:rFonts w:asciiTheme="majorHAnsi" w:eastAsiaTheme="majorEastAsia" w:hAnsiTheme="majorHAnsi" w:cstheme="majorBidi"/>
      <w:color w:val="243F60" w:themeColor="accent1" w:themeShade="7F"/>
    </w:rPr>
  </w:style>
  <w:style w:type="character" w:styleId="a7">
    <w:name w:val="FollowedHyperlink"/>
    <w:basedOn w:val="a0"/>
    <w:uiPriority w:val="99"/>
    <w:semiHidden/>
    <w:unhideWhenUsed/>
    <w:rsid w:val="005C6C35"/>
    <w:rPr>
      <w:color w:val="800080"/>
      <w:u w:val="single"/>
    </w:rPr>
  </w:style>
</w:styles>
</file>

<file path=word/webSettings.xml><?xml version="1.0" encoding="utf-8"?>
<w:webSettings xmlns:r="http://schemas.openxmlformats.org/officeDocument/2006/relationships" xmlns:w="http://schemas.openxmlformats.org/wordprocessingml/2006/main">
  <w:divs>
    <w:div w:id="182063547">
      <w:bodyDiv w:val="1"/>
      <w:marLeft w:val="0"/>
      <w:marRight w:val="0"/>
      <w:marTop w:val="0"/>
      <w:marBottom w:val="0"/>
      <w:divBdr>
        <w:top w:val="none" w:sz="0" w:space="0" w:color="auto"/>
        <w:left w:val="none" w:sz="0" w:space="0" w:color="auto"/>
        <w:bottom w:val="none" w:sz="0" w:space="0" w:color="auto"/>
        <w:right w:val="none" w:sz="0" w:space="0" w:color="auto"/>
      </w:divBdr>
      <w:divsChild>
        <w:div w:id="711685409">
          <w:marLeft w:val="0"/>
          <w:marRight w:val="0"/>
          <w:marTop w:val="0"/>
          <w:marBottom w:val="0"/>
          <w:divBdr>
            <w:top w:val="none" w:sz="0" w:space="0" w:color="auto"/>
            <w:left w:val="none" w:sz="0" w:space="0" w:color="auto"/>
            <w:bottom w:val="none" w:sz="0" w:space="0" w:color="auto"/>
            <w:right w:val="none" w:sz="0" w:space="0" w:color="auto"/>
          </w:divBdr>
        </w:div>
      </w:divsChild>
    </w:div>
    <w:div w:id="685207227">
      <w:bodyDiv w:val="1"/>
      <w:marLeft w:val="0"/>
      <w:marRight w:val="0"/>
      <w:marTop w:val="0"/>
      <w:marBottom w:val="0"/>
      <w:divBdr>
        <w:top w:val="none" w:sz="0" w:space="0" w:color="auto"/>
        <w:left w:val="none" w:sz="0" w:space="0" w:color="auto"/>
        <w:bottom w:val="none" w:sz="0" w:space="0" w:color="auto"/>
        <w:right w:val="none" w:sz="0" w:space="0" w:color="auto"/>
      </w:divBdr>
      <w:divsChild>
        <w:div w:id="477915053">
          <w:blockQuote w:val="1"/>
          <w:marLeft w:val="0"/>
          <w:marRight w:val="0"/>
          <w:marTop w:val="240"/>
          <w:marBottom w:val="240"/>
          <w:divBdr>
            <w:top w:val="none" w:sz="0" w:space="0" w:color="auto"/>
            <w:left w:val="none" w:sz="0" w:space="0" w:color="auto"/>
            <w:bottom w:val="none" w:sz="0" w:space="0" w:color="auto"/>
            <w:right w:val="none" w:sz="0" w:space="0" w:color="auto"/>
          </w:divBdr>
        </w:div>
        <w:div w:id="17924355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92303452">
      <w:bodyDiv w:val="1"/>
      <w:marLeft w:val="0"/>
      <w:marRight w:val="0"/>
      <w:marTop w:val="0"/>
      <w:marBottom w:val="0"/>
      <w:divBdr>
        <w:top w:val="none" w:sz="0" w:space="0" w:color="auto"/>
        <w:left w:val="none" w:sz="0" w:space="0" w:color="auto"/>
        <w:bottom w:val="none" w:sz="0" w:space="0" w:color="auto"/>
        <w:right w:val="none" w:sz="0" w:space="0" w:color="auto"/>
      </w:divBdr>
    </w:div>
    <w:div w:id="904492139">
      <w:bodyDiv w:val="1"/>
      <w:marLeft w:val="0"/>
      <w:marRight w:val="0"/>
      <w:marTop w:val="0"/>
      <w:marBottom w:val="0"/>
      <w:divBdr>
        <w:top w:val="none" w:sz="0" w:space="0" w:color="auto"/>
        <w:left w:val="none" w:sz="0" w:space="0" w:color="auto"/>
        <w:bottom w:val="none" w:sz="0" w:space="0" w:color="auto"/>
        <w:right w:val="none" w:sz="0" w:space="0" w:color="auto"/>
      </w:divBdr>
      <w:divsChild>
        <w:div w:id="439640933">
          <w:marLeft w:val="0"/>
          <w:marRight w:val="0"/>
          <w:marTop w:val="0"/>
          <w:marBottom w:val="0"/>
          <w:divBdr>
            <w:top w:val="none" w:sz="0" w:space="0" w:color="auto"/>
            <w:left w:val="none" w:sz="0" w:space="0" w:color="auto"/>
            <w:bottom w:val="none" w:sz="0" w:space="0" w:color="auto"/>
            <w:right w:val="none" w:sz="0" w:space="0" w:color="auto"/>
          </w:divBdr>
        </w:div>
      </w:divsChild>
    </w:div>
    <w:div w:id="1083528456">
      <w:bodyDiv w:val="1"/>
      <w:marLeft w:val="0"/>
      <w:marRight w:val="0"/>
      <w:marTop w:val="0"/>
      <w:marBottom w:val="0"/>
      <w:divBdr>
        <w:top w:val="none" w:sz="0" w:space="0" w:color="auto"/>
        <w:left w:val="none" w:sz="0" w:space="0" w:color="auto"/>
        <w:bottom w:val="none" w:sz="0" w:space="0" w:color="auto"/>
        <w:right w:val="none" w:sz="0" w:space="0" w:color="auto"/>
      </w:divBdr>
    </w:div>
    <w:div w:id="1118140966">
      <w:bodyDiv w:val="1"/>
      <w:marLeft w:val="0"/>
      <w:marRight w:val="0"/>
      <w:marTop w:val="0"/>
      <w:marBottom w:val="0"/>
      <w:divBdr>
        <w:top w:val="none" w:sz="0" w:space="0" w:color="auto"/>
        <w:left w:val="none" w:sz="0" w:space="0" w:color="auto"/>
        <w:bottom w:val="none" w:sz="0" w:space="0" w:color="auto"/>
        <w:right w:val="none" w:sz="0" w:space="0" w:color="auto"/>
      </w:divBdr>
    </w:div>
    <w:div w:id="1450049745">
      <w:bodyDiv w:val="1"/>
      <w:marLeft w:val="0"/>
      <w:marRight w:val="0"/>
      <w:marTop w:val="0"/>
      <w:marBottom w:val="0"/>
      <w:divBdr>
        <w:top w:val="none" w:sz="0" w:space="0" w:color="auto"/>
        <w:left w:val="none" w:sz="0" w:space="0" w:color="auto"/>
        <w:bottom w:val="none" w:sz="0" w:space="0" w:color="auto"/>
        <w:right w:val="none" w:sz="0" w:space="0" w:color="auto"/>
      </w:divBdr>
    </w:div>
    <w:div w:id="1467049327">
      <w:bodyDiv w:val="1"/>
      <w:marLeft w:val="0"/>
      <w:marRight w:val="0"/>
      <w:marTop w:val="0"/>
      <w:marBottom w:val="0"/>
      <w:divBdr>
        <w:top w:val="none" w:sz="0" w:space="0" w:color="auto"/>
        <w:left w:val="none" w:sz="0" w:space="0" w:color="auto"/>
        <w:bottom w:val="none" w:sz="0" w:space="0" w:color="auto"/>
        <w:right w:val="none" w:sz="0" w:space="0" w:color="auto"/>
      </w:divBdr>
    </w:div>
    <w:div w:id="1526749578">
      <w:bodyDiv w:val="1"/>
      <w:marLeft w:val="0"/>
      <w:marRight w:val="0"/>
      <w:marTop w:val="0"/>
      <w:marBottom w:val="0"/>
      <w:divBdr>
        <w:top w:val="none" w:sz="0" w:space="0" w:color="auto"/>
        <w:left w:val="none" w:sz="0" w:space="0" w:color="auto"/>
        <w:bottom w:val="none" w:sz="0" w:space="0" w:color="auto"/>
        <w:right w:val="none" w:sz="0" w:space="0" w:color="auto"/>
      </w:divBdr>
    </w:div>
    <w:div w:id="1572734116">
      <w:bodyDiv w:val="1"/>
      <w:marLeft w:val="0"/>
      <w:marRight w:val="0"/>
      <w:marTop w:val="0"/>
      <w:marBottom w:val="0"/>
      <w:divBdr>
        <w:top w:val="none" w:sz="0" w:space="0" w:color="auto"/>
        <w:left w:val="none" w:sz="0" w:space="0" w:color="auto"/>
        <w:bottom w:val="none" w:sz="0" w:space="0" w:color="auto"/>
        <w:right w:val="none" w:sz="0" w:space="0" w:color="auto"/>
      </w:divBdr>
    </w:div>
    <w:div w:id="16466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5280</Words>
  <Characters>30096</Characters>
  <Application>Microsoft Office Word</Application>
  <DocSecurity>0</DocSecurity>
  <Lines>250</Lines>
  <Paragraphs>70</Paragraphs>
  <ScaleCrop>false</ScaleCrop>
  <Company>Krokoz™</Company>
  <LinksUpToDate>false</LinksUpToDate>
  <CharactersWithSpaces>35306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2016-09-29T07:44:00Z</dcterms:created>
  <dcterms:modified xsi:type="dcterms:W3CDTF">2016-09-29T07:44:00Z</dcterms:modified>
</cp:coreProperties>
</file>